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9DBB9" w14:textId="4B3A53EE" w:rsidR="005947C5" w:rsidRDefault="00217CD2" w:rsidP="00217CD2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GoBack"/>
      <w:r w:rsidRPr="00217CD2">
        <w:rPr>
          <w:rFonts w:asciiTheme="majorBidi" w:hAnsiTheme="majorBidi" w:cstheme="majorBidi"/>
          <w:b/>
          <w:bCs/>
          <w:sz w:val="28"/>
          <w:szCs w:val="28"/>
          <w:u w:val="single"/>
        </w:rPr>
        <w:t>Clinical Nutrition (B)</w:t>
      </w:r>
      <w:r w:rsidRPr="00217CD2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(</w:t>
      </w:r>
      <w:r w:rsidRPr="00217CD2">
        <w:rPr>
          <w:rFonts w:asciiTheme="majorBidi" w:hAnsiTheme="majorBidi" w:cstheme="majorBidi"/>
          <w:b/>
          <w:bCs/>
          <w:sz w:val="28"/>
          <w:szCs w:val="28"/>
          <w:u w:val="single"/>
        </w:rPr>
        <w:t>NCN.422</w:t>
      </w:r>
      <w:r w:rsidRPr="00217CD2">
        <w:rPr>
          <w:rFonts w:asciiTheme="majorBidi" w:hAnsiTheme="majorBidi" w:cstheme="majorBidi"/>
          <w:b/>
          <w:bCs/>
          <w:sz w:val="28"/>
          <w:szCs w:val="28"/>
          <w:u w:val="single"/>
        </w:rPr>
        <w:t>)</w:t>
      </w:r>
    </w:p>
    <w:bookmarkEnd w:id="0"/>
    <w:p w14:paraId="17B2A0F6" w14:textId="51B3FE31" w:rsidR="00217CD2" w:rsidRDefault="00217CD2" w:rsidP="00217CD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17CD2">
        <w:rPr>
          <w:rFonts w:asciiTheme="majorBidi" w:hAnsiTheme="majorBidi" w:cstheme="majorBidi"/>
          <w:b/>
          <w:bCs/>
          <w:sz w:val="28"/>
          <w:szCs w:val="28"/>
        </w:rPr>
        <w:t>Overall aims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17CD2">
        <w:rPr>
          <w:rFonts w:asciiTheme="majorBidi" w:hAnsiTheme="majorBidi" w:cstheme="majorBidi"/>
          <w:b/>
          <w:bCs/>
          <w:sz w:val="28"/>
          <w:szCs w:val="28"/>
        </w:rPr>
        <w:t>of the Course:</w:t>
      </w:r>
    </w:p>
    <w:p w14:paraId="012B7D0A" w14:textId="197EA0A0" w:rsidR="00217CD2" w:rsidRDefault="00217CD2" w:rsidP="00217CD2">
      <w:pPr>
        <w:jc w:val="both"/>
        <w:rPr>
          <w:rFonts w:asciiTheme="majorBidi" w:hAnsiTheme="majorBidi" w:cstheme="majorBidi"/>
          <w:sz w:val="28"/>
          <w:szCs w:val="28"/>
        </w:rPr>
      </w:pPr>
      <w:r w:rsidRPr="00217CD2">
        <w:rPr>
          <w:rFonts w:asciiTheme="majorBidi" w:hAnsiTheme="majorBidi" w:cstheme="majorBidi"/>
          <w:sz w:val="28"/>
          <w:szCs w:val="28"/>
        </w:rPr>
        <w:t>Understanding the nutrient requirements and applied nutrition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17CD2">
        <w:rPr>
          <w:rFonts w:asciiTheme="majorBidi" w:hAnsiTheme="majorBidi" w:cstheme="majorBidi"/>
          <w:sz w:val="28"/>
          <w:szCs w:val="28"/>
        </w:rPr>
        <w:t>for Pre-ruminants; Beef and Dairy animals; Sheep &amp; Goat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17CD2">
        <w:rPr>
          <w:rFonts w:asciiTheme="majorBidi" w:hAnsiTheme="majorBidi" w:cstheme="majorBidi"/>
          <w:sz w:val="28"/>
          <w:szCs w:val="28"/>
        </w:rPr>
        <w:t>Camels. Equines, Pet and Laboratory animals and Fish. Study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17CD2">
        <w:rPr>
          <w:rFonts w:asciiTheme="majorBidi" w:hAnsiTheme="majorBidi" w:cstheme="majorBidi"/>
          <w:sz w:val="28"/>
          <w:szCs w:val="28"/>
        </w:rPr>
        <w:t>of the relation between nutrition and metabolic disorders,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17CD2">
        <w:rPr>
          <w:rFonts w:asciiTheme="majorBidi" w:hAnsiTheme="majorBidi" w:cstheme="majorBidi"/>
          <w:sz w:val="28"/>
          <w:szCs w:val="28"/>
        </w:rPr>
        <w:t>infectious diseases and reproduction is essential for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17CD2">
        <w:rPr>
          <w:rFonts w:asciiTheme="majorBidi" w:hAnsiTheme="majorBidi" w:cstheme="majorBidi"/>
          <w:sz w:val="28"/>
          <w:szCs w:val="28"/>
        </w:rPr>
        <w:t>course. Mal-nutritional and Food-borne illnesses as well as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17CD2">
        <w:rPr>
          <w:rFonts w:asciiTheme="majorBidi" w:hAnsiTheme="majorBidi" w:cstheme="majorBidi"/>
          <w:sz w:val="28"/>
          <w:szCs w:val="28"/>
        </w:rPr>
        <w:t>therapeutic nutrition are to be realized. Formulation of diets for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17CD2">
        <w:rPr>
          <w:rFonts w:asciiTheme="majorBidi" w:hAnsiTheme="majorBidi" w:cstheme="majorBidi"/>
          <w:sz w:val="28"/>
          <w:szCs w:val="28"/>
        </w:rPr>
        <w:t>different species at different physiological and production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17CD2">
        <w:rPr>
          <w:rFonts w:asciiTheme="majorBidi" w:hAnsiTheme="majorBidi" w:cstheme="majorBidi"/>
          <w:sz w:val="28"/>
          <w:szCs w:val="28"/>
        </w:rPr>
        <w:t>levels.</w:t>
      </w:r>
    </w:p>
    <w:p w14:paraId="29E4CB48" w14:textId="25F37518" w:rsidR="00217CD2" w:rsidRDefault="00217CD2" w:rsidP="00217CD2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17CD2">
        <w:rPr>
          <w:rFonts w:asciiTheme="majorBidi" w:hAnsiTheme="majorBidi" w:cstheme="majorBidi"/>
          <w:b/>
          <w:bCs/>
          <w:sz w:val="28"/>
          <w:szCs w:val="28"/>
        </w:rPr>
        <w:t>Course contents:</w:t>
      </w:r>
    </w:p>
    <w:p w14:paraId="583D3A63" w14:textId="6A2462DA" w:rsidR="00217CD2" w:rsidRPr="00217CD2" w:rsidRDefault="00217CD2" w:rsidP="00217CD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17CD2">
        <w:rPr>
          <w:rFonts w:asciiTheme="majorBidi" w:hAnsiTheme="majorBidi" w:cstheme="majorBidi"/>
          <w:sz w:val="28"/>
          <w:szCs w:val="28"/>
        </w:rPr>
        <w:t>Maintenance &amp;Growth</w:t>
      </w:r>
    </w:p>
    <w:p w14:paraId="07DFDEF5" w14:textId="114B3F63" w:rsidR="00217CD2" w:rsidRPr="00217CD2" w:rsidRDefault="00217CD2" w:rsidP="00217CD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217CD2">
        <w:rPr>
          <w:rFonts w:asciiTheme="majorBidi" w:hAnsiTheme="majorBidi" w:cstheme="majorBidi"/>
          <w:sz w:val="28"/>
          <w:szCs w:val="28"/>
        </w:rPr>
        <w:t>Equine ration formulation</w:t>
      </w:r>
    </w:p>
    <w:p w14:paraId="0ECB7895" w14:textId="6226BDE5" w:rsidR="00217CD2" w:rsidRPr="00217CD2" w:rsidRDefault="00217CD2" w:rsidP="00217CD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217CD2">
        <w:rPr>
          <w:rFonts w:asciiTheme="majorBidi" w:hAnsiTheme="majorBidi" w:cstheme="majorBidi"/>
          <w:sz w:val="28"/>
          <w:szCs w:val="28"/>
        </w:rPr>
        <w:t>Equine clinical nutrition</w:t>
      </w:r>
    </w:p>
    <w:p w14:paraId="034FD4B5" w14:textId="1B7030CB" w:rsidR="00217CD2" w:rsidRPr="00217CD2" w:rsidRDefault="00217CD2" w:rsidP="00217CD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217CD2">
        <w:rPr>
          <w:rFonts w:asciiTheme="majorBidi" w:hAnsiTheme="majorBidi" w:cstheme="majorBidi"/>
          <w:sz w:val="28"/>
          <w:szCs w:val="28"/>
        </w:rPr>
        <w:t>Beef cattle clinical nutrition</w:t>
      </w:r>
    </w:p>
    <w:p w14:paraId="61DDF459" w14:textId="35DAF6CC" w:rsidR="00217CD2" w:rsidRPr="00217CD2" w:rsidRDefault="00217CD2" w:rsidP="00217CD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17CD2">
        <w:rPr>
          <w:rFonts w:asciiTheme="majorBidi" w:hAnsiTheme="majorBidi" w:cstheme="majorBidi"/>
          <w:sz w:val="28"/>
          <w:szCs w:val="28"/>
        </w:rPr>
        <w:t>Sheep &amp; goat clinical nutrition</w:t>
      </w:r>
    </w:p>
    <w:p w14:paraId="3A0C8E53" w14:textId="7B39564D" w:rsidR="00217CD2" w:rsidRPr="00217CD2" w:rsidRDefault="00217CD2" w:rsidP="00217CD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17CD2">
        <w:rPr>
          <w:rFonts w:asciiTheme="majorBidi" w:hAnsiTheme="majorBidi" w:cstheme="majorBidi"/>
          <w:sz w:val="28"/>
          <w:szCs w:val="28"/>
        </w:rPr>
        <w:t>Beef cattle ration</w:t>
      </w:r>
      <w:r w:rsidRPr="00217CD2">
        <w:rPr>
          <w:rFonts w:asciiTheme="majorBidi" w:hAnsiTheme="majorBidi" w:cstheme="majorBidi"/>
          <w:sz w:val="28"/>
          <w:szCs w:val="28"/>
        </w:rPr>
        <w:t xml:space="preserve"> </w:t>
      </w:r>
      <w:r w:rsidRPr="00217CD2">
        <w:rPr>
          <w:rFonts w:asciiTheme="majorBidi" w:hAnsiTheme="majorBidi" w:cstheme="majorBidi"/>
          <w:sz w:val="28"/>
          <w:szCs w:val="28"/>
        </w:rPr>
        <w:t>formulation</w:t>
      </w:r>
    </w:p>
    <w:p w14:paraId="61B0C57A" w14:textId="33D3BB75" w:rsidR="00217CD2" w:rsidRPr="00217CD2" w:rsidRDefault="00217CD2" w:rsidP="00217CD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17CD2">
        <w:rPr>
          <w:rFonts w:asciiTheme="majorBidi" w:hAnsiTheme="majorBidi" w:cstheme="majorBidi"/>
          <w:sz w:val="28"/>
          <w:szCs w:val="28"/>
        </w:rPr>
        <w:t>Dairy cattle clinical nutrition</w:t>
      </w:r>
    </w:p>
    <w:p w14:paraId="095C4F78" w14:textId="34BB4CEF" w:rsidR="00217CD2" w:rsidRPr="00217CD2" w:rsidRDefault="00217CD2" w:rsidP="00217CD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17CD2">
        <w:rPr>
          <w:rFonts w:asciiTheme="majorBidi" w:hAnsiTheme="majorBidi" w:cstheme="majorBidi"/>
          <w:sz w:val="28"/>
          <w:szCs w:val="28"/>
        </w:rPr>
        <w:t>Metabolic Disorders</w:t>
      </w:r>
    </w:p>
    <w:p w14:paraId="5CCB5384" w14:textId="1F7EC9F5" w:rsidR="00217CD2" w:rsidRPr="00217CD2" w:rsidRDefault="00217CD2" w:rsidP="00217CD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17CD2">
        <w:rPr>
          <w:rFonts w:asciiTheme="majorBidi" w:hAnsiTheme="majorBidi" w:cstheme="majorBidi"/>
          <w:sz w:val="28"/>
          <w:szCs w:val="28"/>
        </w:rPr>
        <w:t>Sheep &amp; goat ration</w:t>
      </w:r>
      <w:r w:rsidRPr="00217CD2">
        <w:rPr>
          <w:rFonts w:asciiTheme="majorBidi" w:hAnsiTheme="majorBidi" w:cstheme="majorBidi"/>
          <w:sz w:val="28"/>
          <w:szCs w:val="28"/>
        </w:rPr>
        <w:t xml:space="preserve"> </w:t>
      </w:r>
      <w:r w:rsidRPr="00217CD2">
        <w:rPr>
          <w:rFonts w:asciiTheme="majorBidi" w:hAnsiTheme="majorBidi" w:cstheme="majorBidi"/>
          <w:sz w:val="28"/>
          <w:szCs w:val="28"/>
        </w:rPr>
        <w:t>formulation</w:t>
      </w:r>
    </w:p>
    <w:p w14:paraId="5E167925" w14:textId="44518B9A" w:rsidR="00217CD2" w:rsidRPr="00217CD2" w:rsidRDefault="00217CD2" w:rsidP="00217CD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17CD2">
        <w:rPr>
          <w:rFonts w:asciiTheme="majorBidi" w:hAnsiTheme="majorBidi" w:cstheme="majorBidi"/>
          <w:sz w:val="28"/>
          <w:szCs w:val="28"/>
        </w:rPr>
        <w:t>Fish nutrition</w:t>
      </w:r>
    </w:p>
    <w:p w14:paraId="0B6CB693" w14:textId="448F12FF" w:rsidR="00217CD2" w:rsidRPr="00217CD2" w:rsidRDefault="00217CD2" w:rsidP="00217CD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17CD2">
        <w:rPr>
          <w:rFonts w:asciiTheme="majorBidi" w:hAnsiTheme="majorBidi" w:cstheme="majorBidi"/>
          <w:sz w:val="28"/>
          <w:szCs w:val="28"/>
        </w:rPr>
        <w:t>Pet animals</w:t>
      </w:r>
    </w:p>
    <w:p w14:paraId="076565F8" w14:textId="45FE20E9" w:rsidR="00217CD2" w:rsidRPr="00217CD2" w:rsidRDefault="00217CD2" w:rsidP="00217CD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17CD2">
        <w:rPr>
          <w:rFonts w:asciiTheme="majorBidi" w:hAnsiTheme="majorBidi" w:cstheme="majorBidi"/>
          <w:sz w:val="28"/>
          <w:szCs w:val="28"/>
        </w:rPr>
        <w:t>Dairy cattle ration</w:t>
      </w:r>
      <w:r w:rsidRPr="00217CD2">
        <w:rPr>
          <w:rFonts w:asciiTheme="majorBidi" w:hAnsiTheme="majorBidi" w:cstheme="majorBidi"/>
          <w:sz w:val="28"/>
          <w:szCs w:val="28"/>
        </w:rPr>
        <w:t xml:space="preserve"> </w:t>
      </w:r>
      <w:r w:rsidRPr="00217CD2">
        <w:rPr>
          <w:rFonts w:asciiTheme="majorBidi" w:hAnsiTheme="majorBidi" w:cstheme="majorBidi"/>
          <w:sz w:val="28"/>
          <w:szCs w:val="28"/>
        </w:rPr>
        <w:t>formulation</w:t>
      </w:r>
    </w:p>
    <w:p w14:paraId="41415B6B" w14:textId="1661A2D2" w:rsidR="00217CD2" w:rsidRPr="00217CD2" w:rsidRDefault="00217CD2" w:rsidP="00217CD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17CD2">
        <w:rPr>
          <w:rFonts w:asciiTheme="majorBidi" w:hAnsiTheme="majorBidi" w:cstheme="majorBidi"/>
          <w:sz w:val="28"/>
          <w:szCs w:val="28"/>
        </w:rPr>
        <w:t>Camel nutrition</w:t>
      </w:r>
    </w:p>
    <w:p w14:paraId="668DC144" w14:textId="58D849CC" w:rsidR="00217CD2" w:rsidRPr="00217CD2" w:rsidRDefault="00217CD2" w:rsidP="00217CD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17CD2">
        <w:rPr>
          <w:rFonts w:asciiTheme="majorBidi" w:hAnsiTheme="majorBidi" w:cstheme="majorBidi"/>
          <w:sz w:val="28"/>
          <w:szCs w:val="28"/>
        </w:rPr>
        <w:t>feed processing</w:t>
      </w:r>
    </w:p>
    <w:p w14:paraId="3AB007F0" w14:textId="7C94016E" w:rsidR="00217CD2" w:rsidRPr="00217CD2" w:rsidRDefault="00217CD2" w:rsidP="00217CD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17CD2">
        <w:rPr>
          <w:rFonts w:asciiTheme="majorBidi" w:hAnsiTheme="majorBidi" w:cstheme="majorBidi"/>
          <w:sz w:val="28"/>
          <w:szCs w:val="28"/>
        </w:rPr>
        <w:t>Nutrition &amp; disease</w:t>
      </w:r>
    </w:p>
    <w:p w14:paraId="5507CF7F" w14:textId="507F1703" w:rsidR="00217CD2" w:rsidRPr="00217CD2" w:rsidRDefault="00217CD2" w:rsidP="00217CD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17CD2">
        <w:rPr>
          <w:rFonts w:asciiTheme="majorBidi" w:hAnsiTheme="majorBidi" w:cstheme="majorBidi"/>
          <w:sz w:val="28"/>
          <w:szCs w:val="28"/>
        </w:rPr>
        <w:t xml:space="preserve">Lab animal </w:t>
      </w:r>
      <w:r w:rsidRPr="00217CD2">
        <w:rPr>
          <w:rFonts w:asciiTheme="majorBidi" w:hAnsiTheme="majorBidi" w:cstheme="majorBidi"/>
          <w:sz w:val="28"/>
          <w:szCs w:val="28"/>
        </w:rPr>
        <w:t>nutrition</w:t>
      </w:r>
    </w:p>
    <w:p w14:paraId="49944999" w14:textId="77777777" w:rsidR="00217CD2" w:rsidRPr="00217CD2" w:rsidRDefault="00217CD2" w:rsidP="00217CD2">
      <w:pPr>
        <w:rPr>
          <w:rFonts w:asciiTheme="majorBidi" w:hAnsiTheme="majorBidi" w:cstheme="majorBidi"/>
          <w:sz w:val="28"/>
          <w:szCs w:val="28"/>
        </w:rPr>
      </w:pPr>
    </w:p>
    <w:sectPr w:rsidR="00217CD2" w:rsidRPr="00217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527356"/>
    <w:multiLevelType w:val="hybridMultilevel"/>
    <w:tmpl w:val="0DDE5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D2"/>
    <w:rsid w:val="0005532F"/>
    <w:rsid w:val="00217CD2"/>
    <w:rsid w:val="004F5652"/>
    <w:rsid w:val="0095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6DC18"/>
  <w15:chartTrackingRefBased/>
  <w15:docId w15:val="{DFA0A85A-0222-4399-A09B-2C040F37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 Taha</dc:creator>
  <cp:keywords/>
  <dc:description/>
  <cp:lastModifiedBy>Engy Taha</cp:lastModifiedBy>
  <cp:revision>1</cp:revision>
  <dcterms:created xsi:type="dcterms:W3CDTF">2022-01-04T16:02:00Z</dcterms:created>
  <dcterms:modified xsi:type="dcterms:W3CDTF">2022-01-04T16:12:00Z</dcterms:modified>
</cp:coreProperties>
</file>